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81" w:rsidRPr="006A0DA7" w:rsidRDefault="006A0DA7" w:rsidP="006A0DA7">
      <w:pPr>
        <w:spacing w:after="0"/>
        <w:jc w:val="center"/>
        <w:rPr>
          <w:rFonts w:ascii="Times New Roman" w:hAnsi="Times New Roman" w:cs="Times New Roman"/>
          <w:sz w:val="40"/>
          <w:szCs w:val="28"/>
        </w:rPr>
      </w:pPr>
      <w:r w:rsidRPr="006A0DA7">
        <w:rPr>
          <w:rFonts w:ascii="Times New Roman" w:eastAsia="Arial Unicode MS" w:hAnsi="Times New Roman"/>
          <w:sz w:val="40"/>
          <w:szCs w:val="28"/>
        </w:rPr>
        <w:t>Работа с правоприменительной практикой соблюдения обязательных требований («как делать нужно (можно)»)</w:t>
      </w:r>
    </w:p>
    <w:p w:rsidR="006A0DA7" w:rsidRDefault="006A0DA7" w:rsidP="006A0DA7">
      <w:pPr>
        <w:spacing w:after="0"/>
        <w:jc w:val="center"/>
        <w:rPr>
          <w:rFonts w:ascii="Times New Roman" w:hAnsi="Times New Roman" w:cs="Times New Roman"/>
          <w:sz w:val="28"/>
          <w:szCs w:val="28"/>
        </w:rPr>
      </w:pPr>
    </w:p>
    <w:p w:rsidR="006A0DA7" w:rsidRDefault="00F300AF" w:rsidP="006A0DA7">
      <w:pPr>
        <w:spacing w:after="0"/>
        <w:jc w:val="center"/>
        <w:rPr>
          <w:rFonts w:ascii="Times New Roman" w:hAnsi="Times New Roman" w:cs="Times New Roman"/>
          <w:sz w:val="28"/>
          <w:szCs w:val="28"/>
        </w:rPr>
      </w:pPr>
      <w:r>
        <w:rPr>
          <w:rFonts w:ascii="Times New Roman" w:hAnsi="Times New Roman" w:cs="Times New Roman"/>
          <w:sz w:val="28"/>
          <w:szCs w:val="28"/>
        </w:rPr>
        <w:t>Федеральный г</w:t>
      </w:r>
      <w:r w:rsidR="006A0DA7">
        <w:rPr>
          <w:rFonts w:ascii="Times New Roman" w:hAnsi="Times New Roman" w:cs="Times New Roman"/>
          <w:sz w:val="28"/>
          <w:szCs w:val="28"/>
        </w:rPr>
        <w:t>осударственный пожарный надзор</w:t>
      </w:r>
      <w:bookmarkStart w:id="0" w:name="_GoBack"/>
      <w:bookmarkEnd w:id="0"/>
    </w:p>
    <w:p w:rsidR="006A0DA7" w:rsidRPr="00A05C58" w:rsidRDefault="006A0DA7" w:rsidP="006A0DA7">
      <w:pPr>
        <w:spacing w:after="0"/>
        <w:jc w:val="center"/>
        <w:rPr>
          <w:rFonts w:ascii="Times New Roman" w:hAnsi="Times New Roman" w:cs="Times New Roman"/>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3088"/>
        <w:gridCol w:w="3548"/>
        <w:gridCol w:w="2953"/>
        <w:gridCol w:w="4736"/>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Оборудование дверей эвакуационных выходов устройствами, препятствующими их открыванию изнутри без </w:t>
            </w:r>
            <w:r w:rsidRPr="00047AAB">
              <w:rPr>
                <w:rFonts w:ascii="Times New Roman" w:eastAsia="Times New Roman" w:hAnsi="Times New Roman"/>
                <w:sz w:val="24"/>
                <w:szCs w:val="24"/>
              </w:rPr>
              <w:lastRenderedPageBreak/>
              <w:t>ключа</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безопасности  со стороны руководителей и лиц, ответственных за </w:t>
            </w:r>
            <w:r w:rsidRPr="00047AAB">
              <w:rPr>
                <w:rFonts w:ascii="Times New Roman" w:eastAsia="Times New Roman" w:hAnsi="Times New Roman"/>
                <w:sz w:val="24"/>
                <w:szCs w:val="24"/>
              </w:rPr>
              <w:lastRenderedPageBreak/>
              <w:t>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Необходимо оборудовать двери эвакуационных выходов запорами, открываемыми изнутри без использования ключа.</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Возможно оборудовать указанные двери </w:t>
            </w:r>
            <w:r w:rsidRPr="00047AAB">
              <w:rPr>
                <w:rFonts w:ascii="Times New Roman" w:eastAsia="Times New Roman" w:hAnsi="Times New Roman"/>
                <w:sz w:val="24"/>
                <w:szCs w:val="24"/>
              </w:rPr>
              <w:lastRenderedPageBreak/>
              <w:t>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устройств для самозакрывания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Двери лестничных клеток должны быть оборудованы устройствами для самозакрывания и уплотнениями в притворах.</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лестничных клеток устройствами для самозакрывания и уплотнениями в притворах.</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 устройстве таких дверей  необходимо предусмотреть возможность вручную открыть их изнутри и заблокировать в открытом состоянии.</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w:t>
            </w:r>
            <w:r w:rsidRPr="00047AAB">
              <w:rPr>
                <w:rFonts w:ascii="Times New Roman" w:eastAsia="Times New Roman" w:hAnsi="Times New Roman"/>
                <w:sz w:val="24"/>
                <w:szCs w:val="24"/>
              </w:rPr>
              <w:lastRenderedPageBreak/>
              <w:t>способу применение автоматического или дистанционного способа открывания и блокирования устройств.</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w:t>
            </w:r>
            <w:proofErr w:type="gramStart"/>
            <w:r w:rsidRPr="00047AAB">
              <w:rPr>
                <w:rFonts w:ascii="Times New Roman" w:eastAsia="Times New Roman" w:hAnsi="Times New Roman"/>
                <w:sz w:val="24"/>
                <w:szCs w:val="24"/>
              </w:rPr>
              <w:t>какие либо</w:t>
            </w:r>
            <w:proofErr w:type="gramEnd"/>
            <w:r w:rsidRPr="00047AAB">
              <w:rPr>
                <w:rFonts w:ascii="Times New Roman" w:eastAsia="Times New Roman" w:hAnsi="Times New Roman"/>
                <w:sz w:val="24"/>
                <w:szCs w:val="24"/>
              </w:rPr>
              <w:t xml:space="preserve"> предметы, оборудование и т.п.</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Технического регламента:</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2. Провести расчет по оценке пожарного </w:t>
            </w:r>
            <w:r w:rsidRPr="00047AAB">
              <w:rPr>
                <w:rFonts w:ascii="Times New Roman" w:eastAsia="Times New Roman" w:hAnsi="Times New Roman"/>
                <w:sz w:val="24"/>
                <w:szCs w:val="24"/>
              </w:rPr>
              <w:lastRenderedPageBreak/>
              <w:t>риска с учетом наличия перепада высот 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Из помещений, предусмотренных  п.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F300AF" w:rsidP="00E107D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Здания, сооруже</w:t>
            </w:r>
            <w:r w:rsidR="00A04281" w:rsidRPr="00047AAB">
              <w:rPr>
                <w:rFonts w:ascii="Times New Roman" w:eastAsia="Times New Roman" w:hAnsi="Times New Roman"/>
                <w:sz w:val="24"/>
                <w:szCs w:val="24"/>
              </w:rPr>
              <w:t xml:space="preserve">ния и помещения, перечисленные в приложении А Свода правил СП 5.13130.2009, подлежат оборудованию </w:t>
            </w:r>
            <w:r w:rsidR="00A04281"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возможной </w:t>
            </w:r>
            <w:r w:rsidRPr="00047AAB">
              <w:rPr>
                <w:rFonts w:ascii="Times New Roman" w:eastAsia="Times New Roman" w:hAnsi="Times New Roman"/>
                <w:sz w:val="24"/>
                <w:szCs w:val="24"/>
              </w:rPr>
              <w:lastRenderedPageBreak/>
              <w:t>ответственности</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пределов огнестойкости элементов заполнения проемов в противопожарных преградах</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Элементы заполнения проемов в противопожарных преградах должны иметь предел огнестойкостисоответствующий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Выполнить элементы заполнения проемов в противопожарных преградах с пределом огнестойкости, соответствующим типу противопожарной преграды согласно 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12.</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r w:rsidRPr="00047AAB">
              <w:rPr>
                <w:rFonts w:ascii="Times New Roman" w:eastAsia="Times New Roman" w:hAnsi="Times New Roman"/>
                <w:sz w:val="24"/>
                <w:szCs w:val="24"/>
              </w:rPr>
              <w:lastRenderedPageBreak/>
              <w:t>самозакрывания противопожарных дверей (ворот)</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Противопожарные двери и </w:t>
            </w:r>
            <w:r w:rsidRPr="00047AAB">
              <w:rPr>
                <w:rFonts w:ascii="Times New Roman" w:eastAsia="Times New Roman" w:hAnsi="Times New Roman"/>
                <w:sz w:val="24"/>
                <w:szCs w:val="24"/>
              </w:rPr>
              <w:lastRenderedPageBreak/>
              <w:t>ворота должны иметь устройства для самозакрывания.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w:t>
            </w:r>
            <w:r w:rsidRPr="00047AAB">
              <w:rPr>
                <w:rFonts w:ascii="Times New Roman" w:eastAsia="Times New Roman" w:hAnsi="Times New Roman"/>
                <w:sz w:val="24"/>
                <w:szCs w:val="24"/>
              </w:rPr>
              <w:lastRenderedPageBreak/>
              <w:t>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Необходимо оборудовать </w:t>
            </w:r>
            <w:r w:rsidRPr="00047AAB">
              <w:rPr>
                <w:rFonts w:ascii="Times New Roman" w:eastAsia="Times New Roman" w:hAnsi="Times New Roman"/>
                <w:sz w:val="24"/>
                <w:szCs w:val="24"/>
              </w:rPr>
              <w:lastRenderedPageBreak/>
              <w:t>противопожарные двери и ворота устройствами для самозакрывания.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13.</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проведения указанного мероприятия.</w:t>
            </w:r>
          </w:p>
        </w:tc>
        <w:tc>
          <w:tcPr>
            <w:tcW w:w="4820" w:type="dxa"/>
          </w:tcPr>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указанных систем и средств противопожарной защиты объекта с оформлением соответствующего акта проверки.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14.</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противопожарных расстояний между зданиями (сооружениями) требованиям нормативных </w:t>
            </w:r>
            <w:r w:rsidRPr="00047AAB">
              <w:rPr>
                <w:rFonts w:ascii="Times New Roman" w:eastAsia="Times New Roman" w:hAnsi="Times New Roman"/>
                <w:sz w:val="24"/>
                <w:szCs w:val="24"/>
              </w:rPr>
              <w:lastRenderedPageBreak/>
              <w:t>документов по пожарной безопасности</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безопасности  со стороны руководителей и лиц, ответственных за </w:t>
            </w:r>
            <w:r w:rsidRPr="00047AAB">
              <w:rPr>
                <w:rFonts w:ascii="Times New Roman" w:eastAsia="Times New Roman" w:hAnsi="Times New Roman"/>
                <w:sz w:val="24"/>
                <w:szCs w:val="24"/>
              </w:rPr>
              <w:lastRenderedPageBreak/>
              <w:t>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r w:rsidR="006A0DA7" w:rsidRPr="00047AAB">
              <w:rPr>
                <w:rFonts w:ascii="Times New Roman" w:eastAsia="Times New Roman" w:hAnsi="Times New Roman"/>
                <w:sz w:val="24"/>
                <w:szCs w:val="24"/>
              </w:rPr>
              <w:t>соответствии</w:t>
            </w:r>
            <w:r w:rsidRPr="00047AAB">
              <w:rPr>
                <w:rFonts w:ascii="Times New Roman" w:eastAsia="Times New Roman" w:hAnsi="Times New Roman"/>
                <w:sz w:val="24"/>
                <w:szCs w:val="24"/>
              </w:rPr>
              <w:t xml:space="preserve"> со статьей 37 Технического регламента.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15.</w:t>
            </w:r>
          </w:p>
        </w:tc>
        <w:tc>
          <w:tcPr>
            <w:tcW w:w="311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В от других помещений, следует предусмотреть комплекс мероприятий по предотвращению 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16.</w:t>
            </w:r>
          </w:p>
        </w:tc>
        <w:tc>
          <w:tcPr>
            <w:tcW w:w="311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 разработаны </w:t>
            </w:r>
            <w:r w:rsidRPr="00047AAB">
              <w:rPr>
                <w:rFonts w:ascii="Times New Roman" w:eastAsia="Times New Roman" w:hAnsi="Times New Roman"/>
                <w:sz w:val="24"/>
                <w:szCs w:val="24"/>
              </w:rPr>
              <w:lastRenderedPageBreak/>
              <w:t>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Для зданий, сооружений, для </w:t>
            </w:r>
            <w:r w:rsidRPr="00047AAB">
              <w:rPr>
                <w:rFonts w:ascii="Times New Roman" w:eastAsia="Times New Roman" w:hAnsi="Times New Roman"/>
                <w:sz w:val="24"/>
                <w:szCs w:val="24"/>
              </w:rPr>
              <w:lastRenderedPageBreak/>
              <w:t>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w:t>
            </w:r>
            <w:r w:rsidRPr="00047AAB">
              <w:rPr>
                <w:rFonts w:ascii="Times New Roman" w:eastAsia="Times New Roman" w:hAnsi="Times New Roman"/>
                <w:sz w:val="24"/>
                <w:szCs w:val="24"/>
              </w:rPr>
              <w:lastRenderedPageBreak/>
              <w:t>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Для зданий, сооружений, для которых </w:t>
            </w:r>
            <w:r w:rsidRPr="00047AAB">
              <w:rPr>
                <w:rFonts w:ascii="Times New Roman" w:eastAsia="Times New Roman" w:hAnsi="Times New Roman"/>
                <w:sz w:val="24"/>
                <w:szCs w:val="24"/>
              </w:rPr>
              <w:lastRenderedPageBreak/>
              <w:t>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указанный  комплекс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494872" w:rsidRDefault="00494872" w:rsidP="00A04281">
      <w:pPr>
        <w:pStyle w:val="a4"/>
        <w:ind w:left="1065"/>
        <w:rPr>
          <w:rFonts w:ascii="Times New Roman" w:hAnsi="Times New Roman"/>
          <w:sz w:val="28"/>
          <w:szCs w:val="28"/>
        </w:rPr>
      </w:pPr>
    </w:p>
    <w:p w:rsidR="00494872" w:rsidRDefault="00494872" w:rsidP="00A04281">
      <w:pPr>
        <w:pStyle w:val="a4"/>
        <w:ind w:left="1065"/>
        <w:rPr>
          <w:rFonts w:ascii="Times New Roman" w:hAnsi="Times New Roman"/>
          <w:sz w:val="28"/>
          <w:szCs w:val="28"/>
        </w:rPr>
      </w:pPr>
    </w:p>
    <w:p w:rsidR="00494872" w:rsidRDefault="00494872"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A04281" w:rsidRDefault="00A04281" w:rsidP="00E107D2">
      <w:pPr>
        <w:pStyle w:val="a4"/>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составляющий 3 года, - для юридического лица</w:t>
            </w: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 xml:space="preserve">В штате юридического лица должны состоять работники, имеющие профессиональное техническое образование (профессиональную подготовку), а такжеминимальный стаж работы не менее 3 лет в области лицензируемой деятельности (не менее чем у 50 процентов работников) </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107D2">
            <w:pPr>
              <w:spacing w:after="0" w:line="240" w:lineRule="auto"/>
              <w:jc w:val="both"/>
              <w:rPr>
                <w:rFonts w:ascii="Times New Roman" w:eastAsia="Times New Roman" w:hAnsi="Times New Roman"/>
                <w:color w:val="FF0000"/>
                <w:sz w:val="24"/>
                <w:szCs w:val="24"/>
              </w:rPr>
            </w:pP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которые соответствуют выполняемым </w:t>
            </w:r>
            <w:r w:rsidRPr="00047AAB">
              <w:rPr>
                <w:rFonts w:ascii="Times New Roman" w:eastAsia="Times New Roman" w:hAnsi="Times New Roman"/>
                <w:sz w:val="24"/>
                <w:szCs w:val="24"/>
              </w:rPr>
              <w:lastRenderedPageBreak/>
              <w:t>работам и оказываемым услугам.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Стаж работы в области лицензируемой деятельности, не менее чем у 50 процентов работников, должен составлять не менее 3 лет.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профессиональной </w:t>
            </w:r>
            <w:r w:rsidRPr="00047AAB">
              <w:rPr>
                <w:rFonts w:ascii="Times New Roman" w:eastAsia="Times New Roman" w:hAnsi="Times New Roman"/>
                <w:sz w:val="24"/>
                <w:szCs w:val="24"/>
              </w:rPr>
              <w:lastRenderedPageBreak/>
              <w:t>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001B1550">
              <w:rPr>
                <w:rFonts w:ascii="Times New Roman" w:eastAsia="Times New Roman" w:hAnsi="Times New Roman"/>
                <w:sz w:val="24"/>
                <w:szCs w:val="24"/>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494872" w:rsidRDefault="00494872" w:rsidP="00A04281">
      <w:pPr>
        <w:pStyle w:val="a4"/>
        <w:jc w:val="center"/>
        <w:rPr>
          <w:rFonts w:ascii="Times New Roman" w:hAnsi="Times New Roman"/>
          <w:sz w:val="28"/>
          <w:szCs w:val="28"/>
        </w:rPr>
      </w:pPr>
    </w:p>
    <w:p w:rsidR="00494872" w:rsidRDefault="00494872"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6A0DA7">
      <w:pPr>
        <w:pStyle w:val="a4"/>
        <w:ind w:left="1065"/>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тушению пожаров в населенных пунктах, на производственных объ</w:t>
      </w:r>
      <w:r w:rsidR="001B1550">
        <w:rPr>
          <w:rFonts w:ascii="Times New Roman" w:hAnsi="Times New Roman"/>
          <w:sz w:val="28"/>
          <w:szCs w:val="28"/>
        </w:rPr>
        <w:t>ектах и объектах инфраструктуры</w:t>
      </w:r>
      <w:r w:rsidRPr="00CE5052">
        <w:rPr>
          <w:rFonts w:ascii="Times New Roman" w:hAnsi="Times New Roman"/>
          <w:sz w:val="28"/>
          <w:szCs w:val="28"/>
        </w:rPr>
        <w:t>.</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107D2">
            <w:pPr>
              <w:spacing w:after="0" w:line="240" w:lineRule="auto"/>
              <w:jc w:val="both"/>
              <w:rPr>
                <w:rFonts w:ascii="Times New Roman" w:eastAsia="Times New Roman" w:hAnsi="Times New Roman"/>
                <w:color w:val="FF0000"/>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w:t>
            </w:r>
            <w:r w:rsidRPr="00047AAB">
              <w:rPr>
                <w:rFonts w:ascii="Times New Roman" w:eastAsia="Times New Roman" w:hAnsi="Times New Roman"/>
                <w:sz w:val="24"/>
                <w:szCs w:val="24"/>
              </w:rPr>
              <w:lastRenderedPageBreak/>
              <w:t>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w:t>
            </w:r>
            <w:r w:rsidRPr="00047AAB">
              <w:rPr>
                <w:rFonts w:ascii="Times New Roman" w:eastAsia="Times New Roman" w:hAnsi="Times New Roman"/>
                <w:sz w:val="24"/>
                <w:szCs w:val="24"/>
              </w:rPr>
              <w:lastRenderedPageBreak/>
              <w:t>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Небрежное отношение лицензиата к выполнению обязательного требования</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w:t>
            </w:r>
            <w:r w:rsidRPr="00047AAB">
              <w:rPr>
                <w:rFonts w:ascii="Times New Roman" w:eastAsia="Times New Roman" w:hAnsi="Times New Roman"/>
                <w:sz w:val="24"/>
                <w:szCs w:val="24"/>
              </w:rPr>
              <w:lastRenderedPageBreak/>
              <w:t>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прохождении профессионального обучения)</w:t>
            </w: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107D2">
            <w:pPr>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должныотсутствовать медицинские противопоказания для исполнения должностных обязанностей</w:t>
            </w:r>
          </w:p>
        </w:tc>
        <w:tc>
          <w:tcPr>
            <w:tcW w:w="2268" w:type="dxa"/>
          </w:tcPr>
          <w:p w:rsidR="00A04281" w:rsidRPr="00047AAB" w:rsidRDefault="00A04281" w:rsidP="00E107D2">
            <w:pPr>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E107D2">
            <w:pPr>
              <w:spacing w:after="0" w:line="240" w:lineRule="auto"/>
              <w:jc w:val="both"/>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5.</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 ходе проведения работпо тушению пожаров в населенных пунктах, на </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6A0DA7">
      <w:pPr>
        <w:pStyle w:val="a4"/>
        <w:ind w:left="1065"/>
        <w:jc w:val="center"/>
        <w:rPr>
          <w:rFonts w:ascii="Times New Roman" w:hAnsi="Times New Roman"/>
          <w:sz w:val="28"/>
          <w:szCs w:val="28"/>
        </w:rPr>
      </w:pPr>
      <w:r w:rsidRPr="00CE5052">
        <w:rPr>
          <w:rFonts w:ascii="Times New Roman" w:hAnsi="Times New Roman"/>
          <w:sz w:val="28"/>
          <w:szCs w:val="28"/>
        </w:rPr>
        <w:lastRenderedPageBreak/>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Силы и средства по обеспечению выполнения мероприятий в рамках РСЧС создаются «на бумаге», однако должностные лица, входящие в состав соответствующих формирований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w:t>
            </w:r>
            <w:r w:rsidRPr="00047AAB">
              <w:rPr>
                <w:rFonts w:ascii="Times New Roman" w:eastAsia="Times New Roman" w:hAnsi="Times New Roman"/>
                <w:sz w:val="24"/>
                <w:szCs w:val="24"/>
              </w:rPr>
              <w:lastRenderedPageBreak/>
              <w:t>предназначение и подготовку</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6A0DA7">
      <w:pPr>
        <w:pStyle w:val="a4"/>
        <w:ind w:left="1065"/>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Другое: органы исполнительной власти субъектов РФ на подведомственных объектах и органы 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Проведение соответствующих расчетов и доведение их органами исполнительной власти субъектов РФ до подведомственных объектов и органами местного 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Силы и средства по обеспечению выполнения мероприятий по гражданской обороне создаются «на бумаге», однако должностные лица, входящие в состав соответствующих формирований не владеют своими функциональными </w:t>
            </w:r>
            <w:r w:rsidRPr="00047AAB">
              <w:rPr>
                <w:rFonts w:ascii="Times New Roman" w:eastAsia="Times New Roman" w:hAnsi="Times New Roman"/>
                <w:sz w:val="24"/>
                <w:szCs w:val="24"/>
              </w:rPr>
              <w:lastRenderedPageBreak/>
              <w:t xml:space="preserve">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формальный подход – юридические лица ограничиваются изданием соответствующих </w:t>
            </w:r>
            <w:r w:rsidRPr="00047AAB">
              <w:rPr>
                <w:rFonts w:ascii="Times New Roman" w:eastAsia="Times New Roman" w:hAnsi="Times New Roman"/>
                <w:sz w:val="24"/>
                <w:szCs w:val="24"/>
              </w:rPr>
              <w:lastRenderedPageBreak/>
              <w:t>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w:t>
            </w:r>
            <w:r w:rsidRPr="00047AAB">
              <w:rPr>
                <w:rFonts w:ascii="Times New Roman" w:eastAsia="Times New Roman" w:hAnsi="Times New Roman"/>
                <w:sz w:val="24"/>
                <w:szCs w:val="24"/>
              </w:rPr>
              <w:lastRenderedPageBreak/>
              <w:t>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Pr="00CE5052" w:rsidRDefault="006A0DA7"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sidRPr="00CE5052">
        <w:rPr>
          <w:rFonts w:ascii="Times New Roman" w:hAnsi="Times New Roman"/>
          <w:sz w:val="28"/>
          <w:szCs w:val="28"/>
        </w:rPr>
        <w:lastRenderedPageBreak/>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835"/>
        <w:gridCol w:w="3685"/>
        <w:gridCol w:w="4253"/>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2835" w:type="dxa"/>
            <w:vAlign w:val="center"/>
          </w:tcPr>
          <w:p w:rsidR="00A04281" w:rsidRPr="00E107D2" w:rsidRDefault="00A04281" w:rsidP="00E107D2">
            <w:pPr>
              <w:spacing w:after="0" w:line="240" w:lineRule="auto"/>
              <w:contextualSpacing/>
              <w:jc w:val="center"/>
              <w:rPr>
                <w:rFonts w:ascii="Times New Roman" w:hAnsi="Times New Roman"/>
                <w:b/>
                <w:sz w:val="24"/>
                <w:szCs w:val="24"/>
              </w:rPr>
            </w:pPr>
            <w:r w:rsidRPr="00E107D2">
              <w:rPr>
                <w:rFonts w:ascii="Times New Roman" w:hAnsi="Times New Roman"/>
                <w:b/>
                <w:sz w:val="24"/>
                <w:szCs w:val="24"/>
              </w:rPr>
              <w:t>Статистика типовых и массовых нарушений обязательных требований</w:t>
            </w:r>
          </w:p>
        </w:tc>
        <w:tc>
          <w:tcPr>
            <w:tcW w:w="3685"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4253"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6A0DA7">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p>
        </w:tc>
      </w:tr>
      <w:tr w:rsidR="00A04281" w:rsidRPr="00047AAB" w:rsidTr="006A0DA7">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2835"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w:t>
            </w:r>
            <w:r w:rsidR="002B7A28">
              <w:rPr>
                <w:rFonts w:ascii="Times New Roman" w:eastAsia="Times New Roman" w:hAnsi="Times New Roman"/>
                <w:sz w:val="24"/>
                <w:szCs w:val="24"/>
              </w:rPr>
              <w:t xml:space="preserve">в местах продажи маломерных судов и подвесных лодочных моторов, в ходе проведения профилактической работы в организациях, осуществляющих деятельность, связанную с использованием маломерных судов. </w:t>
            </w:r>
          </w:p>
        </w:tc>
        <w:tc>
          <w:tcPr>
            <w:tcW w:w="4253"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порядке….».  </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w:t>
            </w:r>
            <w:r w:rsidR="002B7A28">
              <w:rPr>
                <w:rFonts w:ascii="Times New Roman" w:eastAsia="Times New Roman" w:hAnsi="Times New Roman"/>
                <w:sz w:val="24"/>
                <w:szCs w:val="24"/>
              </w:rPr>
              <w:t>Сахалинской области</w:t>
            </w:r>
            <w:r w:rsidRPr="00047AAB">
              <w:rPr>
                <w:rFonts w:ascii="Times New Roman" w:eastAsia="Times New Roman" w:hAnsi="Times New Roman"/>
                <w:sz w:val="24"/>
                <w:szCs w:val="24"/>
              </w:rPr>
              <w:t xml:space="preserve">. Собственник гидроцикла с мощностью двигателя до 100 л.с.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л.с.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плавсредства подпадает под другую систему расчетов налогообложения. Для </w:t>
            </w:r>
            <w:r w:rsidRPr="00047AAB">
              <w:rPr>
                <w:rFonts w:ascii="Times New Roman" w:eastAsia="Times New Roman" w:hAnsi="Times New Roman"/>
                <w:sz w:val="24"/>
                <w:szCs w:val="24"/>
              </w:rPr>
              <w:lastRenderedPageBreak/>
              <w:t xml:space="preserve">гидроциклов с двигателем свыше 100 л.с. (свыше 73,55 кВт) налог за 1 л.с.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w:t>
            </w:r>
            <w:r w:rsidR="002B7A28">
              <w:rPr>
                <w:rFonts w:ascii="Times New Roman" w:eastAsia="Times New Roman" w:hAnsi="Times New Roman"/>
                <w:sz w:val="24"/>
                <w:szCs w:val="24"/>
              </w:rPr>
              <w:t>Благоприятный сезон для отдыха в Сахалинской области</w:t>
            </w:r>
            <w:r w:rsidRPr="00047AAB">
              <w:rPr>
                <w:rFonts w:ascii="Times New Roman" w:eastAsia="Times New Roman" w:hAnsi="Times New Roman"/>
                <w:sz w:val="24"/>
                <w:szCs w:val="24"/>
              </w:rPr>
              <w:t xml:space="preserve"> составляет </w:t>
            </w:r>
            <w:r w:rsidR="002B7A28">
              <w:rPr>
                <w:rFonts w:ascii="Times New Roman" w:eastAsia="Times New Roman" w:hAnsi="Times New Roman"/>
                <w:sz w:val="24"/>
                <w:szCs w:val="24"/>
              </w:rPr>
              <w:t>2</w:t>
            </w:r>
            <w:r w:rsidRPr="00047AAB">
              <w:rPr>
                <w:rFonts w:ascii="Times New Roman" w:eastAsia="Times New Roman" w:hAnsi="Times New Roman"/>
                <w:sz w:val="24"/>
                <w:szCs w:val="24"/>
              </w:rPr>
              <w:t xml:space="preserve"> месяца</w:t>
            </w:r>
            <w:r w:rsidR="002B7A28">
              <w:rPr>
                <w:rFonts w:ascii="Times New Roman" w:eastAsia="Times New Roman" w:hAnsi="Times New Roman"/>
                <w:sz w:val="24"/>
                <w:szCs w:val="24"/>
              </w:rPr>
              <w:t xml:space="preserve"> в году</w:t>
            </w:r>
            <w:r w:rsidRPr="00047AAB">
              <w:rPr>
                <w:rFonts w:ascii="Times New Roman" w:eastAsia="Times New Roman" w:hAnsi="Times New Roman"/>
                <w:sz w:val="24"/>
                <w:szCs w:val="24"/>
              </w:rPr>
              <w:t>,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воздействия с тем, чтобы граждане не прибегали к различного рода схемам и уловкам.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Федерации,  Правила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rsidP="006A0DA7"/>
    <w:sectPr w:rsidR="00A04281" w:rsidSect="006A0DA7">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A04281"/>
    <w:rsid w:val="001B1550"/>
    <w:rsid w:val="00225990"/>
    <w:rsid w:val="002B7A28"/>
    <w:rsid w:val="00494872"/>
    <w:rsid w:val="005E634E"/>
    <w:rsid w:val="006A0DA7"/>
    <w:rsid w:val="007E2A24"/>
    <w:rsid w:val="00A04281"/>
    <w:rsid w:val="00A05C58"/>
    <w:rsid w:val="00C756FC"/>
    <w:rsid w:val="00D43548"/>
    <w:rsid w:val="00E107D2"/>
    <w:rsid w:val="00F30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27C97"/>
  <w15:docId w15:val="{4E6A6127-C89A-4B05-A98A-EC66E663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5213</Words>
  <Characters>29716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УНД ОГСП - Заместитель начальника отдела - Юдин О.В.</dc:creator>
  <cp:keywords/>
  <dc:description/>
  <cp:lastModifiedBy>RePack by Diakov</cp:lastModifiedBy>
  <cp:revision>9</cp:revision>
  <dcterms:created xsi:type="dcterms:W3CDTF">2017-08-02T05:17:00Z</dcterms:created>
  <dcterms:modified xsi:type="dcterms:W3CDTF">2018-07-24T03:49:00Z</dcterms:modified>
</cp:coreProperties>
</file>